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КАДРОВЫЙ И ОПЕРАЦИОННЫЙ ШАБЛОН</w:t>
      </w:r>
    </w:p>
    <w:p>
      <w:pPr>
        <w:keepNext/>
        <w:spacing w:before="0" w:after="160"/>
      </w:pPr>
      <w:r>
        <w:rPr>
          <w:rFonts w:ascii="Calibri" w:hAnsi="Calibri"/>
          <w:b/>
          <w:color w:val="202226"/>
          <w:sz w:val="54"/>
        </w:rPr>
        <w:t>Должностная инструкция</w:t>
        <w:br/>
        <w:t>администратора гостиницы</w:t>
      </w:r>
    </w:p>
    <w:p>
      <w:pPr>
        <w:spacing w:before="0" w:after="360"/>
      </w:pPr>
      <w:r>
        <w:rPr>
          <w:rFonts w:ascii="Calibri" w:hAnsi="Calibri"/>
          <w:color w:val="66706B"/>
          <w:sz w:val="24"/>
        </w:rPr>
        <w:t>Редактируемый образец: трудовая функция, обязанности, права, ответственность и границы решений.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944"/>
        <w:gridCol w:w="7416"/>
      </w:tblGrid>
      <w:tr>
        <w:trPr>
          <w:tblHeader w:val="true"/>
        </w:trPr>
        <w:tc>
          <w:tcPr>
            <w:tcW w:type="dxa" w:w="1944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Параметр</w:t>
            </w:r>
          </w:p>
        </w:tc>
        <w:tc>
          <w:tcPr>
            <w:tcW w:type="dxa" w:w="7416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Значение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Версия</w:t>
            </w:r>
          </w:p>
        </w:tc>
        <w:tc>
          <w:tcPr>
            <w:tcW w:type="dxa" w:w="741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2026-08-26</w:t>
            </w:r>
          </w:p>
        </w:tc>
      </w:tr>
      <w:tr>
        <w:trPr>
          <w:cantSplit/>
        </w:trPr>
        <w:tc>
          <w:tcPr>
            <w:tcW w:type="dxa" w:w="1944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Для кого</w:t>
            </w:r>
          </w:p>
        </w:tc>
        <w:tc>
          <w:tcPr>
            <w:tcW w:type="dxa" w:w="7416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Гостиница, загородный отель, база отдыха или иное средство размещения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Статус</w:t>
            </w:r>
          </w:p>
        </w:tc>
        <w:tc>
          <w:tcPr>
            <w:tcW w:type="dxa" w:w="741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Каркас для адаптации работодателем и проверки профильным специалистом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tblHeader w:val="true"/>
          <w:cantSplit/>
        </w:trPr>
        <w:tc>
          <w:tcPr>
            <w:tcW w:type="dxa" w:w="9360"/>
            <w:shd w:fill="FFF4D8"/>
            <w:tcBorders>
              <w:top w:val="single" w:sz="8" w:color="D1A322"/>
              <w:left w:val="single" w:sz="8" w:color="D1A322"/>
              <w:bottom w:val="single" w:sz="8" w:color="D1A322"/>
              <w:right w:val="single" w:sz="8" w:color="D1A322"/>
              <w:insideH w:val="single" w:sz="8" w:color="D1A322"/>
              <w:insideV w:val="single" w:sz="8" w:color="D1A322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color w:val="202226"/>
                <w:sz w:val="20"/>
              </w:rPr>
              <w:t>До утверждения</w:t>
            </w:r>
          </w:p>
          <w:p>
            <w:pPr>
              <w:spacing w:after="0" w:line="288" w:lineRule="auto"/>
            </w:pPr>
            <w:r>
              <w:rPr>
                <w:rFonts w:ascii="Calibri" w:hAnsi="Calibri"/>
                <w:color w:val="202226"/>
                <w:sz w:val="19"/>
              </w:rPr>
              <w:t>Не используйте образец без сверки со штатным расписанием, трудовым договором, фактическими процессами, условиями труда и применимыми локальными актами. Профессиональный стандарт служит источником функциональной карты, но не заменяет настройку роли конкретного работодателя.</w:t>
            </w:r>
          </w:p>
        </w:tc>
      </w:tr>
    </w:tbl>
    <w:p>
      <w:pPr>
        <w:pStyle w:val="Heading1"/>
        <w:keepNext/>
      </w:pPr>
      <w:r>
        <w:t>Как адаптировать образец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Сопоставьте название должности и трудовую функцию со штатным расписанием и трудовым договором.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Удалите обязанности, которых фактически нет, и добавьте только подтверждённые процессы объекта.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Для каждого действия укажите источник правила, доступ, результат, границу решения и порядок эскалации.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Проверьте кассовые операции, персональные данные, безопасность, охрану труда и материальную ответственность с профильными специалистами.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Проведите контрольные сценарии смены и ознакомьте работника в принятом у работодателя порядке.</w:t>
      </w:r>
    </w:p>
    <w:p>
      <w:r>
        <w:br w:type="page"/>
      </w:r>
    </w:p>
    <w:p>
      <w:pPr>
        <w:pStyle w:val="Kicker"/>
      </w:pPr>
      <w:r>
        <w:t>ЧАСТЬ 1  ·  ТЕКСТ ДЛЯ АДАПТАЦИИ</w:t>
      </w:r>
    </w:p>
    <w:p>
      <w:pPr>
        <w:pStyle w:val="Heading1"/>
        <w:keepNext/>
      </w:pPr>
      <w:r>
        <w:t>Утверждение и ознакомление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376"/>
        <w:gridCol w:w="6984"/>
      </w:tblGrid>
      <w:tr>
        <w:trPr>
          <w:tblHeader w:val="true"/>
        </w:trPr>
        <w:tc>
          <w:tcPr>
            <w:tcW w:type="dxa" w:w="2376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Утверждено</w:t>
            </w:r>
          </w:p>
        </w:tc>
        <w:tc>
          <w:tcPr>
            <w:tcW w:type="dxa" w:w="6984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Заполнить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Поле объекта</w:t>
            </w:r>
          </w:p>
        </w:tc>
        <w:tc>
          <w:tcPr>
            <w:tcW w:type="dxa" w:w="698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[должность, ФИО, подпись, реквизиты распорядительного документа]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376"/>
        <w:gridCol w:w="6984"/>
      </w:tblGrid>
      <w:tr>
        <w:trPr>
          <w:tblHeader w:val="true"/>
        </w:trPr>
        <w:tc>
          <w:tcPr>
            <w:tcW w:type="dxa" w:w="2376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Работодатель</w:t>
            </w:r>
          </w:p>
        </w:tc>
        <w:tc>
          <w:tcPr>
            <w:tcW w:type="dxa" w:w="6984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Заполнить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Поле объекта</w:t>
            </w:r>
          </w:p>
        </w:tc>
        <w:tc>
          <w:tcPr>
            <w:tcW w:type="dxa" w:w="698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[полное наименование организации или ФИО ИП]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376"/>
        <w:gridCol w:w="6984"/>
      </w:tblGrid>
      <w:tr>
        <w:trPr>
          <w:tblHeader w:val="true"/>
        </w:trPr>
        <w:tc>
          <w:tcPr>
            <w:tcW w:type="dxa" w:w="2376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Подразделение</w:t>
            </w:r>
          </w:p>
        </w:tc>
        <w:tc>
          <w:tcPr>
            <w:tcW w:type="dxa" w:w="6984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Заполнить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Поле объекта</w:t>
            </w:r>
          </w:p>
        </w:tc>
        <w:tc>
          <w:tcPr>
            <w:tcW w:type="dxa" w:w="698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[служба приёма и размещения / иное]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376"/>
        <w:gridCol w:w="6984"/>
      </w:tblGrid>
      <w:tr>
        <w:trPr>
          <w:tblHeader w:val="true"/>
        </w:trPr>
        <w:tc>
          <w:tcPr>
            <w:tcW w:type="dxa" w:w="2376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Должность</w:t>
            </w:r>
          </w:p>
        </w:tc>
        <w:tc>
          <w:tcPr>
            <w:tcW w:type="dxa" w:w="6984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Заполнить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Поле объекта</w:t>
            </w:r>
          </w:p>
        </w:tc>
        <w:tc>
          <w:tcPr>
            <w:tcW w:type="dxa" w:w="698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[наименование по штатному расписанию]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376"/>
        <w:gridCol w:w="6984"/>
      </w:tblGrid>
      <w:tr>
        <w:trPr>
          <w:tblHeader w:val="true"/>
        </w:trPr>
        <w:tc>
          <w:tcPr>
            <w:tcW w:type="dxa" w:w="2376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Дата и версия</w:t>
            </w:r>
          </w:p>
        </w:tc>
        <w:tc>
          <w:tcPr>
            <w:tcW w:type="dxa" w:w="6984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Заполнить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Поле объекта</w:t>
            </w:r>
          </w:p>
        </w:tc>
        <w:tc>
          <w:tcPr>
            <w:tcW w:type="dxa" w:w="698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[ДД.ММ.ГГГГ / номер редакции]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Общие положения</w:t>
      </w:r>
    </w:p>
    <w:p>
      <w:pPr/>
      <w:r>
        <w:rPr>
          <w:rFonts w:ascii="Calibri" w:hAnsi="Calibri"/>
          <w:color w:val="202226"/>
          <w:sz w:val="22"/>
        </w:rPr>
        <w:t>1.1. Администратор относится к категории [УКАЗАТЬ] и принимается на работу и освобождается от должности в порядке, установленном работодателем.</w:t>
      </w:r>
    </w:p>
    <w:p>
      <w:pPr/>
      <w:r>
        <w:rPr>
          <w:rFonts w:ascii="Calibri" w:hAnsi="Calibri"/>
          <w:color w:val="202226"/>
          <w:sz w:val="22"/>
        </w:rPr>
        <w:t>1.2. Администратор непосредственно подчиняется [ДОЛЖНОСТЬ]. На время отсутствия его замещает [ДОЛЖНОСТЬ / ПОРЯДОК].</w:t>
      </w:r>
    </w:p>
    <w:p>
      <w:pPr/>
      <w:r>
        <w:rPr>
          <w:rFonts w:ascii="Calibri" w:hAnsi="Calibri"/>
          <w:color w:val="202226"/>
          <w:sz w:val="22"/>
        </w:rPr>
        <w:t>1.3. В работе администратор руководствуется законодательством Российской Федерации, локальными актами работодателя, трудовым договором, настоящей инструкцией и утверждёнными регламентами объекта.</w:t>
      </w:r>
    </w:p>
    <w:p>
      <w:pPr/>
      <w:r>
        <w:rPr>
          <w:rFonts w:ascii="Calibri" w:hAnsi="Calibri"/>
          <w:color w:val="202226"/>
          <w:sz w:val="22"/>
        </w:rPr>
        <w:t>1.4. Конкретные системы, интерфейсы и последовательности кликов описываются в рабочих памятках, а не в кадровой инструкции.</w:t>
      </w:r>
    </w:p>
    <w:p>
      <w:pPr>
        <w:pStyle w:val="Heading1"/>
        <w:keepNext/>
      </w:pPr>
      <w:r>
        <w:t>2. Требования к знаниям и подготовке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требования к образованию и опыту: [УКАЗАТЬ ПО РЕАЛЬНОЙ ДОЛЖНОСТИ];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правила предоставления услуг средства размещения и локальные правила объекта;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порядок бронирования, регистрации, размещения, выезда и расчётов в пределах своей роли;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правила делового общения, обработки обращений и передачи конфликтной ситуации старшему сотруднику;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порядок работы с персональными данными и матрицу доступа;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инструкции по охране труда, пожарной, антитеррористической и иной применимой безопасности;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рабочие системы объекта и порядок фиксации действий, статусов и исключений.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tblHeader w:val="true"/>
          <w:cantSplit/>
        </w:trPr>
        <w:tc>
          <w:tcPr>
            <w:tcW w:type="dxa" w:w="9360"/>
            <w:shd w:fill="FFF4D8"/>
            <w:tcBorders>
              <w:top w:val="single" w:sz="8" w:color="D1A322"/>
              <w:left w:val="single" w:sz="8" w:color="D1A322"/>
              <w:bottom w:val="single" w:sz="8" w:color="D1A322"/>
              <w:right w:val="single" w:sz="8" w:color="D1A322"/>
              <w:insideH w:val="single" w:sz="8" w:color="D1A322"/>
              <w:insideV w:val="single" w:sz="8" w:color="D1A322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color w:val="202226"/>
                <w:sz w:val="20"/>
              </w:rPr>
              <w:t>Проверка применимости</w:t>
            </w:r>
          </w:p>
          <w:p>
            <w:pPr>
              <w:spacing w:after="0" w:line="288" w:lineRule="auto"/>
            </w:pPr>
            <w:r>
              <w:rPr>
                <w:rFonts w:ascii="Calibri" w:hAnsi="Calibri"/>
                <w:color w:val="202226"/>
                <w:sz w:val="19"/>
              </w:rPr>
              <w:t>Не копируйте квалификационные требования механически. Работодатель сопоставляет их с трудовой функцией, условиями труда и обязательными требованиями для конкретного рабочего места.</w:t>
            </w:r>
          </w:p>
        </w:tc>
      </w:tr>
    </w:tbl>
    <w:p>
      <w:pPr>
        <w:pStyle w:val="Heading1"/>
        <w:keepNext/>
      </w:pPr>
      <w:r>
        <w:t>3. Трудовая функция</w:t>
      </w:r>
    </w:p>
    <w:p>
      <w:pPr/>
      <w:r>
        <w:rPr>
          <w:rFonts w:ascii="Calibri" w:hAnsi="Calibri"/>
          <w:color w:val="202226"/>
          <w:sz w:val="22"/>
        </w:rPr>
        <w:t>Администратор обеспечивает приём и размещение гостей, ведёт связанные с этим операции и коммуникации в пределах утверждённых полномочий, поддерживает достоверный рабочий контекст брони и передаёт незакрытые исключения ответственным сотрудникам.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304"/>
        <w:gridCol w:w="3960"/>
        <w:gridCol w:w="3096"/>
      </w:tblGrid>
      <w:tr>
        <w:trPr>
          <w:tblHeader w:val="true"/>
        </w:trPr>
        <w:tc>
          <w:tcPr>
            <w:tcW w:type="dxa" w:w="2304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Результат роли</w:t>
            </w:r>
          </w:p>
        </w:tc>
        <w:tc>
          <w:tcPr>
            <w:tcW w:type="dxa" w:w="3960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Признак выполнения</w:t>
            </w:r>
          </w:p>
        </w:tc>
        <w:tc>
          <w:tcPr>
            <w:tcW w:type="dxa" w:w="3096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Граница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Бронь принята в работу</w:t>
            </w:r>
          </w:p>
        </w:tc>
        <w:tc>
          <w:tcPr>
            <w:tcW w:type="dxa" w:w="396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Даты, размещение, гость, статус и источник подтверждены</w:t>
            </w:r>
          </w:p>
        </w:tc>
        <w:tc>
          <w:tcPr>
            <w:tcW w:type="dxa" w:w="309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Изменение цены или условий — только по полномочию</w:t>
            </w:r>
          </w:p>
        </w:tc>
      </w:tr>
      <w:tr>
        <w:trPr>
          <w:cantSplit/>
        </w:trPr>
        <w:tc>
          <w:tcPr>
            <w:tcW w:type="dxa" w:w="2304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Гость размещён</w:t>
            </w:r>
          </w:p>
        </w:tc>
        <w:tc>
          <w:tcPr>
            <w:tcW w:type="dxa" w:w="396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Процедура идентификации и регистрации пройдена, размещение готово</w:t>
            </w:r>
          </w:p>
        </w:tc>
        <w:tc>
          <w:tcPr>
            <w:tcW w:type="dxa" w:w="3096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Сомнение в документе или отказ — эскалация</w:t>
            </w:r>
          </w:p>
        </w:tc>
      </w:tr>
      <w:tr>
        <w:trPr>
          <w:cantSplit/>
        </w:trPr>
        <w:tc>
          <w:tcPr>
            <w:tcW w:type="dxa" w:w="230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Обращение не потеряно</w:t>
            </w:r>
          </w:p>
        </w:tc>
        <w:tc>
          <w:tcPr>
            <w:tcW w:type="dxa" w:w="396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Записаны факт, ответ, следующий шаг, владелец и срок</w:t>
            </w:r>
          </w:p>
        </w:tc>
        <w:tc>
          <w:tcPr>
            <w:tcW w:type="dxa" w:w="309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Конфликт и компенсация — по утверждённой схеме</w:t>
            </w:r>
          </w:p>
        </w:tc>
      </w:tr>
      <w:tr>
        <w:trPr>
          <w:cantSplit/>
        </w:trPr>
        <w:tc>
          <w:tcPr>
            <w:tcW w:type="dxa" w:w="2304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Смена передана</w:t>
            </w:r>
          </w:p>
        </w:tc>
        <w:tc>
          <w:tcPr>
            <w:tcW w:type="dxa" w:w="396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Все критичные исключения имеют владельца и срок</w:t>
            </w:r>
          </w:p>
        </w:tc>
        <w:tc>
          <w:tcPr>
            <w:tcW w:type="dxa" w:w="3096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Нельзя оставлять задачу абстрактной «следующей смене»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4. Должностные обязанности</w:t>
      </w:r>
    </w:p>
    <w:p>
      <w:pPr>
        <w:pStyle w:val="Heading2"/>
        <w:keepNext/>
      </w:pPr>
      <w:r>
        <w:t>4.1. Бронирование и подготовка к заезду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принимать и фиксировать обращения о бронировании через утверждённые каналы;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проверять доступность, даты, категорию размещения, состав гостей, условия тарифа и статус подтверждения;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не обещать цену, услугу или исключение, которые не подтверждены актуальным источником;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своевременно передавать ответственному сотруднику спорные изменения, отмены, возвраты и нестандартные условия;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до заезда проверять готовность размещения, контакт гостя и специальные условия, относящиеся к обслуживанию.</w:t>
      </w:r>
    </w:p>
    <w:p>
      <w:pPr>
        <w:pStyle w:val="Heading2"/>
        <w:keepNext/>
      </w:pPr>
      <w:r>
        <w:t>4.2. Заезд, проживание и выезд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действовать по утверждённой процедуре идентификации, регистрации, размещения и выезда;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сообщать гостю применимые правила, время выезда, состав услуг и рабочие контакты;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проверять статус расчётов и проводить доступные операции в пределах кассового порядка и полномочий;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фиксировать изменение дат, размещения, состава гостей или иных существенных условий;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координировать подготовку размещения через ответственных за уборку, комплектацию и ремонт.</w:t>
      </w:r>
    </w:p>
    <w:p>
      <w:pPr>
        <w:pStyle w:val="Heading2"/>
        <w:keepNext/>
      </w:pPr>
      <w:r>
        <w:t>4.3. Обращения и исключения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принимать обращение, уточнять наблюдаемый факт и проверять контекст брони;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отвечать только в пределах утверждённой информации и своих полномочий;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передавать претензию, конфликт, компенсацию, возврат и правовой вопрос назначенному ответственному;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при угрозе безопасности немедленно действовать по аварийному алгоритму и вызывать необходимые службы;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сохранять факты, время, предпринятые действия и дальнейшего владельца задачи.</w:t>
      </w:r>
    </w:p>
    <w:p>
      <w:pPr>
        <w:pStyle w:val="Heading2"/>
        <w:keepNext/>
      </w:pPr>
      <w:r>
        <w:t>4.4. Учёт и передача смены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поддерживать актуальные статусы броней, размещений, обращений и задач в утверждённом рабочем контуре;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не хранить критичную договорённость только в личном сообщении или устной передаче;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перед окончанием смены фиксировать факт, влияние, следующий шаг, владельца и срок по каждому открытому исключению;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сообщать руководителю о повторяющихся расхождениях, которые нельзя устранить в пределах смены.</w:t>
      </w:r>
    </w:p>
    <w:p>
      <w:pPr>
        <w:pStyle w:val="Heading1"/>
        <w:keepNext/>
      </w:pPr>
      <w:r>
        <w:t>5. Права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получать актуальные регламенты, тарифы, правила, контакты и доступы, необходимые для работы;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запрашивать уточнение, если данные брони, оплаты, размещения или обращения расходятся;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приостанавливать действие и обращаться к старшему сотруднику, если решение выходит за пределы полномочий или создаёт риск безопасности;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предлагать изменения в регламенты, памятки и контрольные точки по результатам фактической работы;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получать обучение по системам, безопасности, персональным данным и иным обязательным для роли процессам.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376"/>
        <w:gridCol w:w="6984"/>
      </w:tblGrid>
      <w:tr>
        <w:trPr>
          <w:tblHeader w:val="true"/>
        </w:trPr>
        <w:tc>
          <w:tcPr>
            <w:tcW w:type="dxa" w:w="2376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Дополнительные полномочия</w:t>
            </w:r>
          </w:p>
        </w:tc>
        <w:tc>
          <w:tcPr>
            <w:tcW w:type="dxa" w:w="6984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Заполнить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Поле объекта</w:t>
            </w:r>
          </w:p>
        </w:tc>
        <w:tc>
          <w:tcPr>
            <w:tcW w:type="dxa" w:w="698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[лимиты скидки, переселения, компенсации, возврата и другие решения — после проверки]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6. Ответственность</w:t>
      </w:r>
    </w:p>
    <w:p>
      <w:pPr/>
      <w:r>
        <w:rPr>
          <w:rFonts w:ascii="Calibri" w:hAnsi="Calibri"/>
          <w:color w:val="202226"/>
          <w:sz w:val="22"/>
        </w:rPr>
        <w:t>Администратор несёт ответственность в пределах, установленных законодательством, трудовым договором и локальными актами работодателя, за виновное неисполнение или ненадлежащее исполнение закреплённых обязанностей.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за недостоверную или несвоевременную фиксацию действия, если это входило в обязанности и было возможно выполнить;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за разглашение охраняемой информации и нарушение утверждённого порядка доступа к персональным данным;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за нарушение кассового, безопасностного или иного обязательного порядка в пределах своей роли;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за неисполнение законного распоряжения руководителя и непередачу критичного исключения по установленной процедуре.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tblHeader w:val="true"/>
          <w:cantSplit/>
        </w:trPr>
        <w:tc>
          <w:tcPr>
            <w:tcW w:type="dxa" w:w="9360"/>
            <w:shd w:fill="FFF4D8"/>
            <w:tcBorders>
              <w:top w:val="single" w:sz="8" w:color="D1A322"/>
              <w:left w:val="single" w:sz="8" w:color="D1A322"/>
              <w:bottom w:val="single" w:sz="8" w:color="D1A322"/>
              <w:right w:val="single" w:sz="8" w:color="D1A322"/>
              <w:insideH w:val="single" w:sz="8" w:color="D1A322"/>
              <w:insideV w:val="single" w:sz="8" w:color="D1A322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color w:val="202226"/>
                <w:sz w:val="20"/>
              </w:rPr>
              <w:t>Юридический stop-gate</w:t>
            </w:r>
          </w:p>
          <w:p>
            <w:pPr>
              <w:spacing w:after="0" w:line="288" w:lineRule="auto"/>
            </w:pPr>
            <w:r>
              <w:rPr>
                <w:rFonts w:ascii="Calibri" w:hAnsi="Calibri"/>
                <w:color w:val="202226"/>
                <w:sz w:val="19"/>
              </w:rPr>
              <w:t>Не устанавливайте автоматическую или безусловную ответственность за любой ущерб, отзыв, недовольство гостя или решение другого сотрудника. Формулировки должны учитывать вину, полномочия, обеспеченные условия работы и применимое законодательство.</w:t>
            </w:r>
          </w:p>
        </w:tc>
      </w:tr>
    </w:tbl>
    <w:p>
      <w:pPr>
        <w:pStyle w:val="Heading1"/>
        <w:keepNext/>
      </w:pPr>
      <w:r>
        <w:t>7. Взаимодействие и замещение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088"/>
        <w:gridCol w:w="3024"/>
        <w:gridCol w:w="2520"/>
        <w:gridCol w:w="1728"/>
      </w:tblGrid>
      <w:tr>
        <w:trPr>
          <w:tblHeader w:val="true"/>
        </w:trPr>
        <w:tc>
          <w:tcPr>
            <w:tcW w:type="dxa" w:w="2088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Участник</w:t>
            </w:r>
          </w:p>
        </w:tc>
        <w:tc>
          <w:tcPr>
            <w:tcW w:type="dxa" w:w="3024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Что передаёт администратор</w:t>
            </w:r>
          </w:p>
        </w:tc>
        <w:tc>
          <w:tcPr>
            <w:tcW w:type="dxa" w:w="2520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Что получает</w:t>
            </w:r>
          </w:p>
        </w:tc>
        <w:tc>
          <w:tcPr>
            <w:tcW w:type="dxa" w:w="1728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Стоп-условие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Старший смены / управляющий</w:t>
            </w:r>
          </w:p>
        </w:tc>
        <w:tc>
          <w:tcPr>
            <w:tcW w:type="dxa" w:w="302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Исключение, влияние, варианты, срок</w:t>
            </w:r>
          </w:p>
        </w:tc>
        <w:tc>
          <w:tcPr>
            <w:tcW w:type="dxa" w:w="252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Решение и границу полномочий</w:t>
            </w:r>
          </w:p>
        </w:tc>
        <w:tc>
          <w:tcPr>
            <w:tcW w:type="dxa" w:w="1728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Нет доступного владельца критичного решения</w:t>
            </w:r>
          </w:p>
        </w:tc>
      </w:tr>
      <w:tr>
        <w:trPr>
          <w:cantSplit/>
        </w:trPr>
        <w:tc>
          <w:tcPr>
            <w:tcW w:type="dxa" w:w="2088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Уборка</w:t>
            </w:r>
          </w:p>
        </w:tc>
        <w:tc>
          <w:tcPr>
            <w:tcW w:type="dxa" w:w="3024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Выезд, приоритет, замечание по готовности</w:t>
            </w:r>
          </w:p>
        </w:tc>
        <w:tc>
          <w:tcPr>
            <w:tcW w:type="dxa" w:w="252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Подтверждённый статус и дефект</w:t>
            </w:r>
          </w:p>
        </w:tc>
        <w:tc>
          <w:tcPr>
            <w:tcW w:type="dxa" w:w="1728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Размещение не готово к заезду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Техническая служба</w:t>
            </w:r>
          </w:p>
        </w:tc>
        <w:tc>
          <w:tcPr>
            <w:tcW w:type="dxa" w:w="302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Факт, место, влияние и доступ</w:t>
            </w:r>
          </w:p>
        </w:tc>
        <w:tc>
          <w:tcPr>
            <w:tcW w:type="dxa" w:w="252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Статус, срок и ограничение эксплуатации</w:t>
            </w:r>
          </w:p>
        </w:tc>
        <w:tc>
          <w:tcPr>
            <w:tcW w:type="dxa" w:w="1728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Риск жизни, здоровью или имуществу</w:t>
            </w:r>
          </w:p>
        </w:tc>
      </w:tr>
      <w:tr>
        <w:trPr>
          <w:cantSplit/>
        </w:trPr>
        <w:tc>
          <w:tcPr>
            <w:tcW w:type="dxa" w:w="2088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Финансы / касса</w:t>
            </w:r>
          </w:p>
        </w:tc>
        <w:tc>
          <w:tcPr>
            <w:tcW w:type="dxa" w:w="3024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Операцию, сумму, источник расхождения</w:t>
            </w:r>
          </w:p>
        </w:tc>
        <w:tc>
          <w:tcPr>
            <w:tcW w:type="dxa" w:w="252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Подтверждение или порядок исправления</w:t>
            </w:r>
          </w:p>
        </w:tc>
        <w:tc>
          <w:tcPr>
            <w:tcW w:type="dxa" w:w="1728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Нельзя подтвердить платёж или возврат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Следующая смена</w:t>
            </w:r>
          </w:p>
        </w:tc>
        <w:tc>
          <w:tcPr>
            <w:tcW w:type="dxa" w:w="302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Все открытые исключения с владельцем</w:t>
            </w:r>
          </w:p>
        </w:tc>
        <w:tc>
          <w:tcPr>
            <w:tcW w:type="dxa" w:w="252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Подтверждение приёма</w:t>
            </w:r>
          </w:p>
        </w:tc>
        <w:tc>
          <w:tcPr>
            <w:tcW w:type="dxa" w:w="1728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Задача остаётся без срока или контекста</w:t>
            </w:r>
          </w:p>
        </w:tc>
      </w:tr>
    </w:tbl>
    <w:p>
      <w:pPr>
        <w:spacing w:after="0"/>
      </w:pPr>
    </w:p>
    <w:p>
      <w:pPr>
        <w:pStyle w:val="Kicker"/>
      </w:pPr>
      <w:r>
        <w:t>ЧАСТЬ 2  ·  МАТРИЦЫ ПРИЁМКИ</w:t>
      </w:r>
    </w:p>
    <w:p>
      <w:pPr>
        <w:pStyle w:val="Heading1"/>
        <w:keepNext/>
      </w:pPr>
      <w:r>
        <w:t>Матрица границ решений</w:t>
      </w:r>
    </w:p>
    <w:p>
      <w:pPr/>
      <w:r>
        <w:rPr>
          <w:rFonts w:ascii="Calibri" w:hAnsi="Calibri"/>
          <w:color w:val="202226"/>
          <w:sz w:val="22"/>
        </w:rPr>
        <w:t>Заполните матрицу до ознакомления сотрудника. Если лимит зависит от тарифа, канала или времени суток, укажите источник актуального значения, а не фиксируйте случайную цифру в тексте инструкции.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730"/>
        <w:gridCol w:w="1950"/>
        <w:gridCol w:w="1560"/>
        <w:gridCol w:w="2106"/>
        <w:gridCol w:w="1014"/>
      </w:tblGrid>
      <w:tr>
        <w:trPr>
          <w:tblHeader w:val="true"/>
        </w:trPr>
        <w:tc>
          <w:tcPr>
            <w:tcW w:type="dxa" w:w="2730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Ситуация</w:t>
            </w:r>
          </w:p>
        </w:tc>
        <w:tc>
          <w:tcPr>
            <w:tcW w:type="dxa" w:w="1950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Администратор решает</w:t>
            </w:r>
          </w:p>
        </w:tc>
        <w:tc>
          <w:tcPr>
            <w:tcW w:type="dxa" w:w="1560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Передаёт</w:t>
            </w:r>
          </w:p>
        </w:tc>
        <w:tc>
          <w:tcPr>
            <w:tcW w:type="dxa" w:w="2106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Кому</w:t>
            </w:r>
          </w:p>
        </w:tc>
        <w:tc>
          <w:tcPr>
            <w:tcW w:type="dxa" w:w="1014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Срок</w:t>
            </w:r>
          </w:p>
        </w:tc>
      </w:tr>
      <w:tr>
        <w:trPr>
          <w:cantSplit/>
        </w:trPr>
        <w:tc>
          <w:tcPr>
            <w:tcW w:type="dxa" w:w="273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Изменение дат</w:t>
            </w:r>
          </w:p>
        </w:tc>
        <w:tc>
          <w:tcPr>
            <w:tcW w:type="dxa" w:w="195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56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210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01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73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Переселение</w:t>
            </w:r>
          </w:p>
        </w:tc>
        <w:tc>
          <w:tcPr>
            <w:tcW w:type="dxa" w:w="195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56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2106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014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73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Ранний заезд / поздний выезд</w:t>
            </w:r>
          </w:p>
        </w:tc>
        <w:tc>
          <w:tcPr>
            <w:tcW w:type="dxa" w:w="195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56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210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01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73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Скидка / компенсация</w:t>
            </w:r>
          </w:p>
        </w:tc>
        <w:tc>
          <w:tcPr>
            <w:tcW w:type="dxa" w:w="195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56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2106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014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73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Отмена / возврат</w:t>
            </w:r>
          </w:p>
        </w:tc>
        <w:tc>
          <w:tcPr>
            <w:tcW w:type="dxa" w:w="195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56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210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01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73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Конфликт / претензия</w:t>
            </w:r>
          </w:p>
        </w:tc>
        <w:tc>
          <w:tcPr>
            <w:tcW w:type="dxa" w:w="195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56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2106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014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73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Авария / угроза безопасности</w:t>
            </w:r>
          </w:p>
        </w:tc>
        <w:tc>
          <w:tcPr>
            <w:tcW w:type="dxa" w:w="195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56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210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01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немедленно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Контрольные сценарии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376"/>
        <w:gridCol w:w="3888"/>
        <w:gridCol w:w="1224"/>
        <w:gridCol w:w="1872"/>
      </w:tblGrid>
      <w:tr>
        <w:trPr>
          <w:tblHeader w:val="true"/>
        </w:trPr>
        <w:tc>
          <w:tcPr>
            <w:tcW w:type="dxa" w:w="2376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Сценарий</w:t>
            </w:r>
          </w:p>
        </w:tc>
        <w:tc>
          <w:tcPr>
            <w:tcW w:type="dxa" w:w="3888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Что должен сделать сотрудник</w:t>
            </w:r>
          </w:p>
        </w:tc>
        <w:tc>
          <w:tcPr>
            <w:tcW w:type="dxa" w:w="1224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Источник</w:t>
            </w:r>
          </w:p>
        </w:tc>
        <w:tc>
          <w:tcPr>
            <w:tcW w:type="dxa" w:w="1872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Результат проверки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Бронь с расхождением цены</w:t>
            </w:r>
          </w:p>
        </w:tc>
        <w:tc>
          <w:tcPr>
            <w:tcW w:type="dxa" w:w="3888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Проверить источник и передать решение по лимиту</w:t>
            </w:r>
          </w:p>
        </w:tc>
        <w:tc>
          <w:tcPr>
            <w:tcW w:type="dxa" w:w="122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872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376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Номер не готов к заезду</w:t>
            </w:r>
          </w:p>
        </w:tc>
        <w:tc>
          <w:tcPr>
            <w:tcW w:type="dxa" w:w="3888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Зафиксировать влияние и запустить утверждённую эскалацию</w:t>
            </w:r>
          </w:p>
        </w:tc>
        <w:tc>
          <w:tcPr>
            <w:tcW w:type="dxa" w:w="1224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872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Гость просит возврат</w:t>
            </w:r>
          </w:p>
        </w:tc>
        <w:tc>
          <w:tcPr>
            <w:tcW w:type="dxa" w:w="3888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Не обещать решение вне полномочий; собрать факты</w:t>
            </w:r>
          </w:p>
        </w:tc>
        <w:tc>
          <w:tcPr>
            <w:tcW w:type="dxa" w:w="122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872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376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Травма или пожарный сигнал</w:t>
            </w:r>
          </w:p>
        </w:tc>
        <w:tc>
          <w:tcPr>
            <w:tcW w:type="dxa" w:w="3888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Действовать по аварийной инструкции</w:t>
            </w:r>
          </w:p>
        </w:tc>
        <w:tc>
          <w:tcPr>
            <w:tcW w:type="dxa" w:w="1224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872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Открытая задача к концу смены</w:t>
            </w:r>
          </w:p>
        </w:tc>
        <w:tc>
          <w:tcPr>
            <w:tcW w:type="dxa" w:w="3888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Назначить владельца, срок и передать контекст</w:t>
            </w:r>
          </w:p>
        </w:tc>
        <w:tc>
          <w:tcPr>
            <w:tcW w:type="dxa" w:w="122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872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Чек-лист утверждённой версии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648"/>
        <w:gridCol w:w="6120"/>
        <w:gridCol w:w="2592"/>
      </w:tblGrid>
      <w:tr>
        <w:trPr>
          <w:tblHeader w:val="true"/>
        </w:trPr>
        <w:tc>
          <w:tcPr>
            <w:tcW w:type="dxa" w:w="648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Статус</w:t>
            </w:r>
          </w:p>
        </w:tc>
        <w:tc>
          <w:tcPr>
            <w:tcW w:type="dxa" w:w="6120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2592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Владелец / дата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12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Должность совпадает со штатным расписанием и трудовым договором.</w:t>
            </w:r>
          </w:p>
        </w:tc>
        <w:tc>
          <w:tcPr>
            <w:tcW w:type="dxa" w:w="2592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>
          <w:cantSplit/>
        </w:trPr>
        <w:tc>
          <w:tcPr>
            <w:tcW w:type="dxa" w:w="648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12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Названы непосредственное подчинение и порядок замещения.</w:t>
            </w:r>
          </w:p>
        </w:tc>
        <w:tc>
          <w:tcPr>
            <w:tcW w:type="dxa" w:w="2592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12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Обязанности соответствуют фактическим процессам объекта.</w:t>
            </w:r>
          </w:p>
        </w:tc>
        <w:tc>
          <w:tcPr>
            <w:tcW w:type="dxa" w:w="2592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>
          <w:cantSplit/>
        </w:trPr>
        <w:tc>
          <w:tcPr>
            <w:tcW w:type="dxa" w:w="648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12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Для финансовых, сервисных и безопасностных решений установлены границы.</w:t>
            </w:r>
          </w:p>
        </w:tc>
        <w:tc>
          <w:tcPr>
            <w:tcW w:type="dxa" w:w="2592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12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Кассовые операции, персональные данные и охрана труда проверены профильными специалистами.</w:t>
            </w:r>
          </w:p>
        </w:tc>
        <w:tc>
          <w:tcPr>
            <w:tcW w:type="dxa" w:w="2592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>
          <w:cantSplit/>
        </w:trPr>
        <w:tc>
          <w:tcPr>
            <w:tcW w:type="dxa" w:w="648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12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Ответственность сформулирована без абсолютных и заведомо неисполнимых требований.</w:t>
            </w:r>
          </w:p>
        </w:tc>
        <w:tc>
          <w:tcPr>
            <w:tcW w:type="dxa" w:w="2592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12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Системные памятки и чек-листы отделены от устойчивой трудовой функции.</w:t>
            </w:r>
          </w:p>
        </w:tc>
        <w:tc>
          <w:tcPr>
            <w:tcW w:type="dxa" w:w="2592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>
          <w:cantSplit/>
        </w:trPr>
        <w:tc>
          <w:tcPr>
            <w:tcW w:type="dxa" w:w="648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12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Работник имеет доступы, обучение и актуальные источники данных для исполнения обязанностей.</w:t>
            </w:r>
          </w:p>
        </w:tc>
        <w:tc>
          <w:tcPr>
            <w:tcW w:type="dxa" w:w="2592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>
          <w:cantSplit/>
        </w:trPr>
        <w:tc>
          <w:tcPr>
            <w:tcW w:type="dxa" w:w="648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12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Контрольные сценарии пройдены и двусмысленности устранены.</w:t>
            </w:r>
          </w:p>
        </w:tc>
        <w:tc>
          <w:tcPr>
            <w:tcW w:type="dxa" w:w="2592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>
          <w:cantSplit/>
        </w:trPr>
        <w:tc>
          <w:tcPr>
            <w:tcW w:type="dxa" w:w="648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12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Есть дата, версия, реквизиты утверждения и ознакомления.</w:t>
            </w:r>
          </w:p>
        </w:tc>
        <w:tc>
          <w:tcPr>
            <w:tcW w:type="dxa" w:w="2592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Подписи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376"/>
        <w:gridCol w:w="3024"/>
        <w:gridCol w:w="1800"/>
        <w:gridCol w:w="2160"/>
      </w:tblGrid>
      <w:tr>
        <w:trPr>
          <w:tblHeader w:val="true"/>
        </w:trPr>
        <w:tc>
          <w:tcPr>
            <w:tcW w:type="dxa" w:w="2376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Роль</w:t>
            </w:r>
          </w:p>
        </w:tc>
        <w:tc>
          <w:tcPr>
            <w:tcW w:type="dxa" w:w="3024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ФИО</w:t>
            </w:r>
          </w:p>
        </w:tc>
        <w:tc>
          <w:tcPr>
            <w:tcW w:type="dxa" w:w="1800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Подпись</w:t>
            </w:r>
          </w:p>
        </w:tc>
        <w:tc>
          <w:tcPr>
            <w:tcW w:type="dxa" w:w="2160"/>
            <w:shd w:fill="087849"/>
            <w:tcBorders>
              <w:top w:val="single" w:sz="7" w:color="087849"/>
              <w:left w:val="single" w:sz="7" w:color="087849"/>
              <w:bottom w:val="single" w:sz="7" w:color="087849"/>
              <w:right w:val="single" w:sz="7" w:color="087849"/>
              <w:insideH w:val="single" w:sz="7" w:color="087849"/>
              <w:insideV w:val="single" w:sz="7" w:color="087849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4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Дата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Утвердил</w:t>
            </w:r>
          </w:p>
        </w:tc>
        <w:tc>
          <w:tcPr>
            <w:tcW w:type="dxa" w:w="302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80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216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376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Согласовал</w:t>
            </w:r>
          </w:p>
        </w:tc>
        <w:tc>
          <w:tcPr>
            <w:tcW w:type="dxa" w:w="3024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80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2160"/>
            <w:shd w:fill="F3F7F5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С инструкцией ознакомлен</w:t>
            </w:r>
          </w:p>
        </w:tc>
        <w:tc>
          <w:tcPr>
            <w:tcW w:type="dxa" w:w="3024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80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2160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Как связать роль с ежедневной работой</w:t>
      </w:r>
    </w:p>
    <w:p>
      <w:pPr/>
      <w:r>
        <w:rPr>
          <w:rFonts w:ascii="Calibri" w:hAnsi="Calibri"/>
          <w:color w:val="202226"/>
          <w:sz w:val="22"/>
        </w:rPr>
        <w:t>Должностная инструкция остаётся кадровым документом. В Опушке утверждённые процессы можно перевести в рабочий контекст: связать действие с бронью, гостем, диалогом и задачей, назначить владельца и передать незакрытый вопрос следующей смене.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tblHeader w:val="true"/>
          <w:cantSplit/>
        </w:trPr>
        <w:tc>
          <w:tcPr>
            <w:tcW w:type="dxa" w:w="9360"/>
            <w:shd w:fill="E8F6EF"/>
            <w:tcBorders>
              <w:top w:val="single" w:sz="8" w:color="10B778"/>
              <w:left w:val="single" w:sz="8" w:color="10B778"/>
              <w:bottom w:val="single" w:sz="8" w:color="10B778"/>
              <w:right w:val="single" w:sz="8" w:color="10B778"/>
              <w:insideH w:val="single" w:sz="8" w:color="10B778"/>
              <w:insideV w:val="single" w:sz="8" w:color="10B778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60"/>
            </w:pPr>
            <w:r/>
            <w:r>
              <w:rPr>
                <w:rFonts w:ascii="Calibri" w:hAnsi="Calibri"/>
                <w:b/>
                <w:color w:val="202226"/>
                <w:sz w:val="20"/>
              </w:rPr>
              <w:t>Граница сервиса</w:t>
            </w:r>
          </w:p>
          <w:p>
            <w:pPr>
              <w:spacing w:after="0" w:line="288" w:lineRule="auto"/>
            </w:pPr>
            <w:r>
              <w:rPr>
                <w:rFonts w:ascii="Calibri" w:hAnsi="Calibri"/>
                <w:color w:val="202226"/>
                <w:sz w:val="19"/>
              </w:rPr>
              <w:t>Опушка не является кадровой системой, не утверждает инструкцию и не заменяет трудовой договор, обучение или локальные акты. Доступ к гостевым данным настраивается по рабочей необходимости и роли сотрудника.</w:t>
            </w:r>
          </w:p>
        </w:tc>
      </w:tr>
    </w:tbl>
    <w:p>
      <w:pPr>
        <w:pStyle w:val="Heading1"/>
        <w:keepNext/>
      </w:pPr>
      <w:r>
        <w:t>Источники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Профессиональный стандарт 33.022 «Работник по приёму и размещению гостей», приказ Минтруда России от 05.09.2017 № 659н: https://fgosvo.ru/docs/downloads?f=%2Fuploadfiles%2Fprofstandart%2F33.022.pdf&amp;id=1057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Трудовой кодекс РФ, статья 57 о трудовой функции: https://www.consultant.ru/document/cons_doc_LAW_34683/2debf15d9e8f632d1a9626d60877f94e84c1cb7c/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202226"/>
          <w:sz w:val="22"/>
        </w:rPr>
        <w:t>Письмо Роструда от 30.11.2009 № 3520-6-1 о должностной инструкции: https://normativ.kontur.ru/document?documentId=149633&amp;moduleId=8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Calibri" w:hAnsi="Calibri"/>
        <w:color w:val="66706B"/>
        <w:sz w:val="16"/>
      </w:rPr>
      <w:t xml:space="preserve">Страница </w:t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rPr>
        <w:rFonts w:ascii="Calibri" w:hAnsi="Calibri"/>
        <w:b/>
        <w:color w:val="66706B"/>
        <w:sz w:val="16"/>
      </w:rPr>
      <w:t>ОПУШКА  ·  РАБОЧИЙ ШАБЛОН ДЛЯ ОБЪЕКТА РАЗМЕЩЕНИЯ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1"/>
        <w:spacing w:after="80" w:line="300" w:lineRule="auto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1"/>
        <w:spacing w:after="80" w:line="300" w:lineRule="auto"/>
      </w:p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Rule="auto" w:line="300"/>
    </w:pPr>
    <w:rPr>
      <w:rFonts w:ascii="Calibri" w:hAnsi="Calibri"/>
      <w:color w:val="20222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8784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8784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20222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spacing w:before="0" w:after="100"/>
    </w:pPr>
    <w:rPr>
      <w:rFonts w:ascii="Calibri" w:hAnsi="Calibri"/>
      <w:b/>
      <w:color w:val="087849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гостиницы — рабочий образец</dc:title>
  <dc:subject>Шаблон для адаптации работодателем; compact_reference_guide with Opushka brand override</dc:subject>
  <dc:creator>Опушка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