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ДЛЯ ГОСТИНИЦЫ ИЛИ ЗАГОРОДНОГО ОБЪЕКТА</w:t>
      </w:r>
    </w:p>
    <w:p>
      <w:pPr>
        <w:pStyle w:val="Title"/>
        <w:pBdr>
          <w:bottom w:val="single" w:sz="12" w:space="8" w:color="10B778"/>
        </w:pBdr>
      </w:pPr>
      <w:r>
        <w:t>Правила проживания</w:t>
        <w:br/>
        <w:t>в средстве размещения</w:t>
      </w:r>
    </w:p>
    <w:p>
      <w:pPr>
        <w:pStyle w:val="Subtitle"/>
      </w:pPr>
      <w:r>
        <w:t>Редактируемый DOCX-каркас с полями для адаптации, картой согласования и контрольным чек-листом.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3050"/>
        <w:gridCol w:w="6656"/>
      </w:tblGrid>
      <w:tr>
        <w:trPr>
          <w:tblHeader w:val="true"/>
        </w:trPr>
        <w:tc>
          <w:tcPr>
            <w:tcW w:type="dxa" w:w="3050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6656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Значение</w:t>
            </w:r>
          </w:p>
        </w:tc>
      </w:tr>
      <w:tr>
        <w:trPr/>
        <w:tc>
          <w:tcPr>
            <w:tcW w:type="dxa" w:w="305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Версия шаблона</w:t>
            </w:r>
          </w:p>
        </w:tc>
        <w:tc>
          <w:tcPr>
            <w:tcW w:type="dxa" w:w="6656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2026-08-26</w:t>
            </w:r>
          </w:p>
        </w:tc>
      </w:tr>
      <w:tr>
        <w:trPr/>
        <w:tc>
          <w:tcPr>
            <w:tcW w:type="dxa" w:w="305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Нормативная база</w:t>
            </w:r>
          </w:p>
        </w:tc>
        <w:tc>
          <w:tcPr>
            <w:tcW w:type="dxa" w:w="6656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Постановление Правительства РФ от 27.11.2025 № 1912</w:t>
            </w:r>
          </w:p>
        </w:tc>
      </w:tr>
      <w:tr>
        <w:trPr/>
        <w:tc>
          <w:tcPr>
            <w:tcW w:type="dxa" w:w="305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Статус</w:t>
            </w:r>
          </w:p>
        </w:tc>
        <w:tc>
          <w:tcPr>
            <w:tcW w:type="dxa" w:w="6656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Шаблон для адаптации и юридической проверки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FF4D8"/>
            <w:tcBorders>
              <w:top w:val="single" w:sz="8" w:color="E1B94D"/>
              <w:left w:val="single" w:sz="8" w:color="E1B94D"/>
              <w:bottom w:val="single" w:sz="8" w:color="E1B94D"/>
              <w:right w:val="single" w:sz="8" w:color="E1B94D"/>
              <w:insideH w:val="single" w:sz="8" w:color="E1B94D"/>
              <w:insideV w:val="single" w:sz="8" w:color="E1B94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Важно до начала</w:t>
            </w:r>
          </w:p>
          <w:p>
            <w:pPr>
              <w:spacing w:after="0" w:line="283" w:lineRule="auto"/>
            </w:pPr>
            <w:r>
              <w:rPr>
                <w:rFonts w:ascii="Calibri" w:hAnsi="Calibri"/>
                <w:color w:val="202226"/>
                <w:sz w:val="19"/>
              </w:rPr>
              <w:t>Этот файл не является юридическим заключением. Не публикуйте его без заполнения полей, сверки с фактическими процессами и проверки профильным специалистом.</w:t>
            </w:r>
          </w:p>
        </w:tc>
      </w:tr>
    </w:tbl>
    <w:p>
      <w:pPr>
        <w:pStyle w:val="Heading1"/>
        <w:keepNext/>
      </w:pPr>
      <w:r>
        <w:t>Как работать с шаблоном</w:t>
      </w:r>
    </w:p>
    <w:p>
      <w:pPr>
        <w:pStyle w:val="ListNumber"/>
        <w:spacing w:after="60" w:line="278" w:lineRule="auto"/>
      </w:pPr>
      <w:r>
        <w:t>Заполните все поля в квадратных скобках по фактическим данным объекта.</w:t>
      </w:r>
    </w:p>
    <w:p>
      <w:pPr>
        <w:pStyle w:val="ListNumber"/>
        <w:spacing w:after="60" w:line="278" w:lineRule="auto"/>
      </w:pPr>
      <w:r>
        <w:t>Удалите неприменимые варианты только после решения ответственного за процесс.</w:t>
      </w:r>
    </w:p>
    <w:p>
      <w:pPr>
        <w:pStyle w:val="ListNumber"/>
        <w:spacing w:after="60" w:line="278" w:lineRule="auto"/>
      </w:pPr>
      <w:r>
        <w:t>Передайте отмеченные места на юридическую проверку и зафиксируйте версию.</w:t>
      </w:r>
    </w:p>
    <w:p>
      <w:pPr>
        <w:pStyle w:val="ListNumber"/>
        <w:spacing w:after="60" w:line="278" w:lineRule="auto"/>
      </w:pPr>
      <w:r>
        <w:t>Проведите одну тестовую бронь, отмену, заселение и передачу смены.</w:t>
      </w:r>
    </w:p>
    <w:p>
      <w:pPr>
        <w:pStyle w:val="ListNumber"/>
        <w:spacing w:after="60" w:line="278" w:lineRule="auto"/>
      </w:pPr>
      <w:r>
        <w:t>Обновите одну и ту же версию на сайте, в каналах, письмах и памятках.</w:t>
      </w:r>
    </w:p>
    <w:p>
      <w:r>
        <w:br w:type="page"/>
      </w:r>
    </w:p>
    <w:p>
      <w:pPr>
        <w:pStyle w:val="Kicker"/>
      </w:pPr>
      <w:r>
        <w:t>ЧАСТЬ 1  ·  ТЕКСТ ДОКУМЕНТА</w:t>
      </w:r>
    </w:p>
    <w:p>
      <w:pPr>
        <w:pStyle w:val="Heading1"/>
        <w:keepNext/>
      </w:pPr>
      <w:r>
        <w:t>Утверждение и область применения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Утверждено: </w:t>
            </w:r>
            <w:r>
              <w:rPr>
                <w:rFonts w:ascii="Calibri" w:hAnsi="Calibri"/>
                <w:color w:val="66706B"/>
                <w:sz w:val="19"/>
              </w:rPr>
              <w:t>[должность, ФИО, реквизиты распорядительного документа]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Дата вступления в силу: </w:t>
            </w:r>
            <w:r>
              <w:rPr>
                <w:rFonts w:ascii="Calibri" w:hAnsi="Calibri"/>
                <w:color w:val="66706B"/>
                <w:sz w:val="19"/>
              </w:rPr>
              <w:t>[ДД.ММ.ГГГГ]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Версия: </w:t>
            </w:r>
            <w:r>
              <w:rPr>
                <w:rFonts w:ascii="Calibri" w:hAnsi="Calibri"/>
                <w:color w:val="66706B"/>
                <w:sz w:val="19"/>
              </w:rPr>
              <w:t>[номер или дата редакции]</w:t>
            </w:r>
          </w:p>
        </w:tc>
      </w:tr>
    </w:tbl>
    <w:p>
      <w:pPr>
        <w:spacing w:after="0"/>
      </w:pPr>
    </w:p>
    <w:p>
      <w:pPr/>
      <w:r>
        <w:t>Настоящие Правила определяют порядок бронирования, заезда, проживания, выезда и получения услуг в [НАЗВАНИЕ ОБЪЕКТА].</w:t>
      </w:r>
    </w:p>
    <w:p>
      <w:pPr/>
      <w:r>
        <w:t>Правила применяются вместе с договором, условиями конкретного тарифа и действующим законодательством Российской Федерации.</w:t>
      </w:r>
    </w:p>
    <w:p>
      <w:pPr>
        <w:pStyle w:val="Heading1"/>
        <w:keepNext/>
      </w:pPr>
      <w:r>
        <w:t>1. Исполнитель и средство размещения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912"/>
        <w:gridCol w:w="6794"/>
      </w:tblGrid>
      <w:tr>
        <w:trPr>
          <w:tblHeader w:val="true"/>
        </w:trPr>
        <w:tc>
          <w:tcPr>
            <w:tcW w:type="dxa" w:w="2912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Сведение</w:t>
            </w:r>
          </w:p>
        </w:tc>
        <w:tc>
          <w:tcPr>
            <w:tcW w:type="dxa" w:w="6794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Заполнить</w:t>
            </w:r>
          </w:p>
        </w:tc>
      </w:tr>
      <w:tr>
        <w:trPr/>
        <w:tc>
          <w:tcPr>
            <w:tcW w:type="dxa" w:w="291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Исполнитель</w:t>
            </w:r>
          </w:p>
        </w:tc>
        <w:tc>
          <w:tcPr>
            <w:tcW w:type="dxa" w:w="6794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[полное наименование юрлица или ФИО ИП]</w:t>
            </w:r>
          </w:p>
        </w:tc>
      </w:tr>
      <w:tr>
        <w:trPr/>
        <w:tc>
          <w:tcPr>
            <w:tcW w:type="dxa" w:w="291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ИНН / ОГРН(ИП)</w:t>
            </w:r>
          </w:p>
        </w:tc>
        <w:tc>
          <w:tcPr>
            <w:tcW w:type="dxa" w:w="6794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[реквизиты]</w:t>
            </w:r>
          </w:p>
        </w:tc>
      </w:tr>
      <w:tr>
        <w:trPr/>
        <w:tc>
          <w:tcPr>
            <w:tcW w:type="dxa" w:w="291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Название объекта</w:t>
            </w:r>
          </w:p>
        </w:tc>
        <w:tc>
          <w:tcPr>
            <w:tcW w:type="dxa" w:w="6794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[публичное и реестровое название]</w:t>
            </w:r>
          </w:p>
        </w:tc>
      </w:tr>
      <w:tr>
        <w:trPr/>
        <w:tc>
          <w:tcPr>
            <w:tcW w:type="dxa" w:w="291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Адрес</w:t>
            </w:r>
          </w:p>
        </w:tc>
        <w:tc>
          <w:tcPr>
            <w:tcW w:type="dxa" w:w="6794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[фактический адрес объекта]</w:t>
            </w:r>
          </w:p>
        </w:tc>
      </w:tr>
      <w:tr>
        <w:trPr/>
        <w:tc>
          <w:tcPr>
            <w:tcW w:type="dxa" w:w="291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Реестр</w:t>
            </w:r>
          </w:p>
        </w:tc>
        <w:tc>
          <w:tcPr>
            <w:tcW w:type="dxa" w:w="6794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[номер записи, тип, категория — если применимо]</w:t>
            </w:r>
          </w:p>
        </w:tc>
      </w:tr>
      <w:tr>
        <w:trPr/>
        <w:tc>
          <w:tcPr>
            <w:tcW w:type="dxa" w:w="291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Контакты</w:t>
            </w:r>
          </w:p>
        </w:tc>
        <w:tc>
          <w:tcPr>
            <w:tcW w:type="dxa" w:w="6794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[телефон, email, сайт, контакт для жалоб]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E8F6EF"/>
            <w:tcBorders>
              <w:top w:val="single" w:sz="8" w:color="10B778"/>
              <w:left w:val="single" w:sz="8" w:color="10B778"/>
              <w:bottom w:val="single" w:sz="8" w:color="10B778"/>
              <w:right w:val="single" w:sz="8" w:color="10B778"/>
              <w:insideH w:val="single" w:sz="8" w:color="10B778"/>
              <w:insideV w:val="single" w:sz="8" w:color="10B77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Контроль</w:t>
            </w:r>
          </w:p>
          <w:p>
            <w:pPr>
              <w:spacing w:after="0" w:line="283" w:lineRule="auto"/>
            </w:pPr>
            <w:r>
              <w:rPr>
                <w:rFonts w:ascii="Calibri" w:hAnsi="Calibri"/>
                <w:color w:val="202226"/>
                <w:sz w:val="19"/>
              </w:rPr>
              <w:t>Сверьте каждое поле с реестром, сайтом, табличкой на стойке и каналами продаж.</w:t>
            </w:r>
          </w:p>
        </w:tc>
      </w:tr>
    </w:tbl>
    <w:p>
      <w:pPr>
        <w:pStyle w:val="Heading1"/>
        <w:keepNext/>
      </w:pPr>
      <w:r>
        <w:t>2. Бронирование и подтверждение</w:t>
      </w:r>
    </w:p>
    <w:p>
      <w:pPr/>
      <w:r>
        <w:t>Бронирование принимается через [САЙТ / ТЕЛЕФОН / EMAIL / КАНАЛЫ ПРОДАЖ]. Перечень каналов и полномочия сотрудников утверждаются объектом.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Что получает гость: </w:t>
            </w:r>
            <w:r>
              <w:rPr>
                <w:rFonts w:ascii="Calibri" w:hAnsi="Calibri"/>
                <w:color w:val="66706B"/>
                <w:sz w:val="19"/>
              </w:rPr>
              <w:t>[состав подтверждения брони]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Гарантированная бронь: </w:t>
            </w:r>
            <w:r>
              <w:rPr>
                <w:rFonts w:ascii="Calibri" w:hAnsi="Calibri"/>
                <w:color w:val="66706B"/>
                <w:sz w:val="19"/>
              </w:rPr>
              <w:t>[порядок, срок ожидания гостя и действие смены]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Условия отмены: </w:t>
            </w:r>
            <w:r>
              <w:rPr>
                <w:rFonts w:ascii="Calibri" w:hAnsi="Calibri"/>
                <w:color w:val="66706B"/>
                <w:sz w:val="19"/>
              </w:rPr>
              <w:t>[по каждому тарифу и каналу]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Поздняя отмена и незаезд: </w:t>
            </w:r>
            <w:r>
              <w:rPr>
                <w:rFonts w:ascii="Calibri" w:hAnsi="Calibri"/>
                <w:color w:val="66706B"/>
                <w:sz w:val="19"/>
              </w:rPr>
              <w:t>[размер и основание платы после юридической проверки]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Возврат денег: </w:t>
            </w:r>
            <w:r>
              <w:rPr>
                <w:rFonts w:ascii="Calibri" w:hAnsi="Calibri"/>
                <w:color w:val="66706B"/>
                <w:sz w:val="19"/>
              </w:rPr>
              <w:t>[основание, способ, срок и ответственный]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FF4D8"/>
            <w:tcBorders>
              <w:top w:val="single" w:sz="8" w:color="E1B94D"/>
              <w:left w:val="single" w:sz="8" w:color="E1B94D"/>
              <w:bottom w:val="single" w:sz="8" w:color="E1B94D"/>
              <w:right w:val="single" w:sz="8" w:color="E1B94D"/>
              <w:insideH w:val="single" w:sz="8" w:color="E1B94D"/>
              <w:insideV w:val="single" w:sz="8" w:color="E1B94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ПРОВЕРИТЬ ЮРИСТОМ</w:t>
            </w:r>
          </w:p>
          <w:p>
            <w:pPr>
              <w:spacing w:after="0" w:line="283" w:lineRule="auto"/>
            </w:pPr>
            <w:r>
              <w:rPr>
                <w:rFonts w:ascii="Calibri" w:hAnsi="Calibri"/>
                <w:color w:val="202226"/>
                <w:sz w:val="19"/>
              </w:rPr>
              <w:t>Объект должен сверить свои условия с действующей редакцией Правил № 1912. Роспотребнадзор разъясняет, что при поздней отмене или незаезде плата по гарантированной брони не может превышать плату за одни сутки.</w:t>
            </w:r>
          </w:p>
        </w:tc>
      </w:tr>
    </w:tbl>
    <w:p>
      <w:pPr>
        <w:pStyle w:val="Heading1"/>
        <w:keepNext/>
      </w:pPr>
      <w:r>
        <w:t>3. Заезд, идентификация и выезд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Время заезда: </w:t>
            </w:r>
            <w:r>
              <w:rPr>
                <w:rFonts w:ascii="Calibri" w:hAnsi="Calibri"/>
                <w:color w:val="66706B"/>
                <w:sz w:val="19"/>
              </w:rPr>
              <w:t>[ЧЧ:ММ и порядок раннего заезда]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Время выезда: </w:t>
            </w:r>
            <w:r>
              <w:rPr>
                <w:rFonts w:ascii="Calibri" w:hAnsi="Calibri"/>
                <w:color w:val="66706B"/>
                <w:sz w:val="19"/>
              </w:rPr>
              <w:t>[ЧЧ:ММ и порядок позднего выезда]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Документы и способы идентификации: </w:t>
            </w:r>
            <w:r>
              <w:rPr>
                <w:rFonts w:ascii="Calibri" w:hAnsi="Calibri"/>
                <w:color w:val="66706B"/>
                <w:sz w:val="19"/>
              </w:rPr>
              <w:t>[полный перечень по действующим нормам]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Исключения: </w:t>
            </w:r>
            <w:r>
              <w:rPr>
                <w:rFonts w:ascii="Calibri" w:hAnsi="Calibri"/>
                <w:color w:val="66706B"/>
                <w:sz w:val="19"/>
              </w:rPr>
              <w:t>[несовершеннолетние, иностранные граждане, недоступность цифрового сервиса]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FF4D8"/>
            <w:tcBorders>
              <w:top w:val="single" w:sz="8" w:color="E1B94D"/>
              <w:left w:val="single" w:sz="8" w:color="E1B94D"/>
              <w:bottom w:val="single" w:sz="8" w:color="E1B94D"/>
              <w:right w:val="single" w:sz="8" w:color="E1B94D"/>
              <w:insideH w:val="single" w:sz="8" w:color="E1B94D"/>
              <w:insideV w:val="single" w:sz="8" w:color="E1B94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ПРОВЕРИТЬ ЮРИСТОМ</w:t>
            </w:r>
          </w:p>
          <w:p>
            <w:pPr>
              <w:spacing w:after="0" w:line="283" w:lineRule="auto"/>
            </w:pPr>
            <w:r>
              <w:rPr>
                <w:rFonts w:ascii="Calibri" w:hAnsi="Calibri"/>
                <w:color w:val="202226"/>
                <w:sz w:val="19"/>
              </w:rPr>
              <w:t>Перечень документов и цифровых способов идентификации зависит от действующих норм и сценария гостя. Не копируйте перечень из старого шаблона.</w:t>
            </w:r>
          </w:p>
        </w:tc>
      </w:tr>
    </w:tbl>
    <w:p>
      <w:pPr>
        <w:pStyle w:val="Heading1"/>
        <w:keepNext/>
      </w:pPr>
      <w:r>
        <w:t>4. Оплата и расчёты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Способы оплаты: </w:t>
            </w:r>
            <w:r>
              <w:rPr>
                <w:rFonts w:ascii="Calibri" w:hAnsi="Calibri"/>
                <w:color w:val="66706B"/>
                <w:sz w:val="19"/>
              </w:rPr>
              <w:t>[наличные и безналичные способы, предоплата]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Цена и состав тарифа: </w:t>
            </w:r>
            <w:r>
              <w:rPr>
                <w:rFonts w:ascii="Calibri" w:hAnsi="Calibri"/>
                <w:color w:val="66706B"/>
                <w:sz w:val="19"/>
              </w:rPr>
              <w:t>[где гость видит полную цену и включённые услуги]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Доплата при изменении: </w:t>
            </w:r>
            <w:r>
              <w:rPr>
                <w:rFonts w:ascii="Calibri" w:hAnsi="Calibri"/>
                <w:color w:val="66706B"/>
                <w:sz w:val="19"/>
              </w:rPr>
              <w:t>[продление, ранний заезд, поздний выезд, услуги]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5. Порядок проживания</w:t>
      </w:r>
    </w:p>
    <w:p>
      <w:pPr/>
      <w:r>
        <w:t>Гость и посетители соблюдают настоящие Правила, требования безопасности и законные указания сотрудников в пределах их полномочий.</w:t>
      </w:r>
    </w:p>
    <w:p>
      <w:pPr>
        <w:pStyle w:val="ListBullet"/>
        <w:spacing w:after="60" w:line="278" w:lineRule="auto"/>
      </w:pPr>
      <w:r>
        <w:t>Тишина: [часы, зоны и порядок реакции на жалобу].</w:t>
      </w:r>
    </w:p>
    <w:p>
      <w:pPr>
        <w:pStyle w:val="ListBullet"/>
        <w:spacing w:after="60" w:line="278" w:lineRule="auto"/>
      </w:pPr>
      <w:r>
        <w:t>Курение: [запрещённые и разрешённые зоны, точная маркировка].</w:t>
      </w:r>
    </w:p>
    <w:p>
      <w:pPr>
        <w:pStyle w:val="ListBullet"/>
        <w:spacing w:after="60" w:line="278" w:lineRule="auto"/>
      </w:pPr>
      <w:r>
        <w:t>Посетители: [время, регистрация, ответственность гостя и исключения].</w:t>
      </w:r>
    </w:p>
    <w:p>
      <w:pPr>
        <w:pStyle w:val="ListBullet"/>
        <w:spacing w:after="60" w:line="278" w:lineRule="auto"/>
      </w:pPr>
      <w:r>
        <w:t>Животные: [допуск, виды размещения, плата, правила и исключения].</w:t>
      </w:r>
    </w:p>
    <w:p>
      <w:pPr>
        <w:pStyle w:val="ListBullet"/>
        <w:spacing w:after="60" w:line="278" w:lineRule="auto"/>
      </w:pPr>
      <w:r>
        <w:t>Огонь, нагреватели и электроприборы: [точные ограничения по помещениям].</w:t>
      </w:r>
    </w:p>
    <w:p>
      <w:pPr>
        <w:pStyle w:val="ListBullet"/>
        <w:spacing w:after="60" w:line="278" w:lineRule="auto"/>
      </w:pPr>
      <w:r>
        <w:t>Территория, парковка, водоём и активности: [правила по каждой фактической зоне].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FF4D8"/>
            <w:tcBorders>
              <w:top w:val="single" w:sz="8" w:color="E1B94D"/>
              <w:left w:val="single" w:sz="8" w:color="E1B94D"/>
              <w:bottom w:val="single" w:sz="8" w:color="E1B94D"/>
              <w:right w:val="single" w:sz="8" w:color="E1B94D"/>
              <w:insideH w:val="single" w:sz="8" w:color="E1B94D"/>
              <w:insideV w:val="single" w:sz="8" w:color="E1B94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ПРОВЕРИТЬ ЮРИСТОМ</w:t>
            </w:r>
          </w:p>
          <w:p>
            <w:pPr>
              <w:spacing w:after="0" w:line="283" w:lineRule="auto"/>
            </w:pPr>
            <w:r>
              <w:rPr>
                <w:rFonts w:ascii="Calibri" w:hAnsi="Calibri"/>
                <w:color w:val="202226"/>
                <w:sz w:val="19"/>
              </w:rPr>
              <w:t>Ограничения должны иметь законное основание, применяться по понятной процедуре и совпадать с фактической планировкой и оснащением объекта.</w:t>
            </w:r>
          </w:p>
        </w:tc>
      </w:tr>
    </w:tbl>
    <w:p>
      <w:pPr>
        <w:pStyle w:val="Heading1"/>
        <w:keepNext/>
      </w:pPr>
      <w:r>
        <w:t>6. Платные и бесплатные услуги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Бесплатные услуги: </w:t>
            </w:r>
            <w:r>
              <w:rPr>
                <w:rFonts w:ascii="Calibri" w:hAnsi="Calibri"/>
                <w:color w:val="66706B"/>
                <w:sz w:val="19"/>
              </w:rPr>
              <w:t>[перечень по действующим Правилам и факту объекта]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Платные услуги: </w:t>
            </w:r>
            <w:r>
              <w:rPr>
                <w:rFonts w:ascii="Calibri" w:hAnsi="Calibri"/>
                <w:color w:val="66706B"/>
                <w:sz w:val="19"/>
              </w:rPr>
              <w:t>[перечень, цена, ограничения, порядок заказа и отмены]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E8F6EF"/>
            <w:tcBorders>
              <w:top w:val="single" w:sz="8" w:color="10B778"/>
              <w:left w:val="single" w:sz="8" w:color="10B778"/>
              <w:bottom w:val="single" w:sz="8" w:color="10B778"/>
              <w:right w:val="single" w:sz="8" w:color="10B778"/>
              <w:insideH w:val="single" w:sz="8" w:color="10B778"/>
              <w:insideV w:val="single" w:sz="8" w:color="10B77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Актуальная пометка</w:t>
            </w:r>
          </w:p>
          <w:p>
            <w:pPr>
              <w:spacing w:after="0" w:line="283" w:lineRule="auto"/>
            </w:pPr>
            <w:r>
              <w:rPr>
                <w:rFonts w:ascii="Calibri" w:hAnsi="Calibri"/>
                <w:color w:val="202226"/>
                <w:sz w:val="19"/>
              </w:rPr>
              <w:t>В разъяснении Роспотребнадзора по Правилам № 1912 указано, что из обязательного бесплатного перечня исключён кипяток и добавлена возможность измерить давление. Сверьте точный перечень по действующей редакции акта.</w:t>
            </w:r>
          </w:p>
        </w:tc>
      </w:tr>
    </w:tbl>
    <w:p>
      <w:pPr>
        <w:pStyle w:val="Heading1"/>
        <w:keepNext/>
      </w:pPr>
      <w:r>
        <w:t>7. Безопасность и экстренные ситуации</w:t>
      </w:r>
    </w:p>
    <w:p>
      <w:pPr>
        <w:pStyle w:val="ListBullet"/>
        <w:spacing w:after="60" w:line="278" w:lineRule="auto"/>
      </w:pPr>
      <w:r>
        <w:t>План эвакуации и пожарная инструкция размещены [МЕСТО].</w:t>
      </w:r>
    </w:p>
    <w:p>
      <w:pPr>
        <w:pStyle w:val="ListBullet"/>
        <w:spacing w:after="60" w:line="278" w:lineRule="auto"/>
      </w:pPr>
      <w:r>
        <w:t>Единый номер экстренных служб: 112. Внутренний номер объекта: [НОМЕР].</w:t>
      </w:r>
    </w:p>
    <w:p>
      <w:pPr>
        <w:pStyle w:val="ListBullet"/>
        <w:spacing w:after="60" w:line="278" w:lineRule="auto"/>
      </w:pPr>
      <w:r>
        <w:t>Порядок реакции на пожар, затопление, травму, пропажу гостя и техническую аварию утверждён отдельными инструкциями.</w:t>
      </w:r>
    </w:p>
    <w:p>
      <w:pPr>
        <w:pStyle w:val="Heading1"/>
        <w:keepNext/>
      </w:pPr>
      <w:r>
        <w:t>8. Имущество и фиксация ущерба</w:t>
      </w:r>
    </w:p>
    <w:p>
      <w:pPr/>
      <w:r>
        <w:t>При обнаружении ущерба объект фиксирует фактическое состояние, сообщает гостю о претензии и применяет утверждённую процедуру.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Доказательства: </w:t>
            </w:r>
            <w:r>
              <w:rPr>
                <w:rFonts w:ascii="Calibri" w:hAnsi="Calibri"/>
                <w:color w:val="66706B"/>
                <w:sz w:val="19"/>
              </w:rPr>
              <w:t>[акт, фото, свидетели, расчёт и место хранения]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Порядок возражения: </w:t>
            </w:r>
            <w:r>
              <w:rPr>
                <w:rFonts w:ascii="Calibri" w:hAnsi="Calibri"/>
                <w:color w:val="66706B"/>
                <w:sz w:val="19"/>
              </w:rPr>
              <w:t>[канал, срок и ответственный за разбор]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FF4D8"/>
            <w:tcBorders>
              <w:top w:val="single" w:sz="8" w:color="E1B94D"/>
              <w:left w:val="single" w:sz="8" w:color="E1B94D"/>
              <w:bottom w:val="single" w:sz="8" w:color="E1B94D"/>
              <w:right w:val="single" w:sz="8" w:color="E1B94D"/>
              <w:insideH w:val="single" w:sz="8" w:color="E1B94D"/>
              <w:insideV w:val="single" w:sz="8" w:color="E1B94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ПРОВЕРИТЬ ЮРИСТОМ</w:t>
            </w:r>
          </w:p>
          <w:p>
            <w:pPr>
              <w:spacing w:after="0" w:line="283" w:lineRule="auto"/>
            </w:pPr>
            <w:r>
              <w:rPr>
                <w:rFonts w:ascii="Calibri" w:hAnsi="Calibri"/>
                <w:color w:val="202226"/>
                <w:sz w:val="19"/>
              </w:rPr>
              <w:t>Не заменяйте доказывание факта и размера ущерба автоматическим штрафом из прайс-листа. Порядок и формулировки нужно утвердить с профильным специалистом.</w:t>
            </w:r>
          </w:p>
        </w:tc>
      </w:tr>
    </w:tbl>
    <w:p>
      <w:pPr>
        <w:pStyle w:val="Heading1"/>
        <w:keepNext/>
      </w:pPr>
      <w:r>
        <w:t>9. Обращения гостей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Каналы: </w:t>
            </w:r>
            <w:r>
              <w:rPr>
                <w:rFonts w:ascii="Calibri" w:hAnsi="Calibri"/>
                <w:color w:val="66706B"/>
                <w:sz w:val="19"/>
              </w:rPr>
              <w:t>[телефон, email, адрес и книга отзывов — если применимо]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Срок и владелец: </w:t>
            </w:r>
            <w:r>
              <w:rPr>
                <w:rFonts w:ascii="Calibri" w:hAnsi="Calibri"/>
                <w:color w:val="66706B"/>
                <w:sz w:val="19"/>
              </w:rPr>
              <w:t>[кто регистрирует, разбирает и закрывает обращение]</w:t>
            </w:r>
          </w:p>
        </w:tc>
      </w:tr>
    </w:tbl>
    <w:p>
      <w:pPr>
        <w:spacing w:after="0"/>
      </w:pP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3F7F5"/>
            <w:tcBorders>
              <w:top w:val="single" w:sz="7" w:color="B7DCCB"/>
              <w:left w:val="single" w:sz="7" w:color="B7DCCB"/>
              <w:bottom w:val="single" w:sz="7" w:color="B7DCCB"/>
              <w:right w:val="single" w:sz="7" w:color="B7DCCB"/>
              <w:insideH w:val="single" w:sz="7" w:color="B7DCCB"/>
              <w:insideV w:val="single" w:sz="7" w:color="B7DCC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sz w:val="19"/>
              </w:rPr>
            </w:r>
            <w:r>
              <w:rPr>
                <w:rFonts w:ascii="Calibri" w:hAnsi="Calibri"/>
                <w:b/>
                <w:color w:val="087849"/>
                <w:sz w:val="19"/>
              </w:rPr>
              <w:t xml:space="preserve">Эскалация: </w:t>
            </w:r>
            <w:r>
              <w:rPr>
                <w:rFonts w:ascii="Calibri" w:hAnsi="Calibri"/>
                <w:color w:val="66706B"/>
                <w:sz w:val="19"/>
              </w:rPr>
              <w:t>[когда вопрос передаётся управляющему, юристу или инженеру]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10. Персональные данные</w:t>
      </w:r>
    </w:p>
    <w:p>
      <w:pPr/>
      <w:r>
        <w:t>Обработка персональных данных описывается в отдельных публичных и внутренних документах объекта.</w:t>
      </w:r>
    </w:p>
    <w:p>
      <w:pPr>
        <w:pStyle w:val="ListBullet"/>
        <w:spacing w:after="60" w:line="278" w:lineRule="auto"/>
      </w:pPr>
      <w:r>
        <w:t>Политика обработки данных: [URL / место публикации].</w:t>
      </w:r>
    </w:p>
    <w:p>
      <w:pPr>
        <w:pStyle w:val="ListBullet"/>
        <w:spacing w:after="60" w:line="278" w:lineRule="auto"/>
      </w:pPr>
      <w:r>
        <w:t>Обязательные согласия: [перечень и точки сбора].</w:t>
      </w:r>
    </w:p>
    <w:p>
      <w:pPr>
        <w:pStyle w:val="ListBullet"/>
        <w:spacing w:after="60" w:line="278" w:lineRule="auto"/>
      </w:pPr>
      <w:r>
        <w:t>Роли и сроки хранения: [матрица доступа и график удаления].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706"/>
      </w:tblGrid>
      <w:tr>
        <w:trPr>
          <w:cantSplit w:val="true"/>
        </w:trPr>
        <w:tc>
          <w:tcPr>
            <w:tcW w:type="dxa" w:w="9706"/>
            <w:shd w:fill="FFF4D8"/>
            <w:tcBorders>
              <w:top w:val="single" w:sz="8" w:color="E1B94D"/>
              <w:left w:val="single" w:sz="8" w:color="E1B94D"/>
              <w:bottom w:val="single" w:sz="8" w:color="E1B94D"/>
              <w:right w:val="single" w:sz="8" w:color="E1B94D"/>
              <w:insideH w:val="single" w:sz="8" w:color="E1B94D"/>
              <w:insideV w:val="single" w:sz="8" w:color="E1B94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color w:val="202226"/>
                <w:sz w:val="20"/>
              </w:rPr>
              <w:t>ПРОВЕРИТЬ ЮРИСТОМ</w:t>
            </w:r>
          </w:p>
          <w:p>
            <w:pPr>
              <w:spacing w:after="0" w:line="283" w:lineRule="auto"/>
            </w:pPr>
            <w:r>
              <w:rPr>
                <w:rFonts w:ascii="Calibri" w:hAnsi="Calibri"/>
                <w:color w:val="202226"/>
                <w:sz w:val="19"/>
              </w:rPr>
              <w:t>Локальные правила не заменяют политику, согласия, уведомления и внутренние процедуры. Не включайте в документ общее согласие на любую будущую обработку.</w:t>
            </w:r>
          </w:p>
        </w:tc>
      </w:tr>
    </w:tbl>
    <w:p>
      <w:pPr>
        <w:pStyle w:val="Heading1"/>
        <w:keepNext/>
      </w:pPr>
      <w:r>
        <w:t>11. Публикация и версионность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3678"/>
        <w:gridCol w:w="2350"/>
        <w:gridCol w:w="2043"/>
        <w:gridCol w:w="1635"/>
      </w:tblGrid>
      <w:tr>
        <w:trPr>
          <w:tblHeader w:val="true"/>
        </w:trPr>
        <w:tc>
          <w:tcPr>
            <w:tcW w:type="dxa" w:w="3678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Точка публикации</w:t>
            </w:r>
          </w:p>
        </w:tc>
        <w:tc>
          <w:tcPr>
            <w:tcW w:type="dxa" w:w="2350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Ответственный</w:t>
            </w:r>
          </w:p>
        </w:tc>
        <w:tc>
          <w:tcPr>
            <w:tcW w:type="dxa" w:w="2043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Дата проверки</w:t>
            </w:r>
          </w:p>
        </w:tc>
        <w:tc>
          <w:tcPr>
            <w:tcW w:type="dxa" w:w="1635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Версия</w:t>
            </w:r>
          </w:p>
        </w:tc>
      </w:tr>
      <w:tr>
        <w:trPr/>
        <w:tc>
          <w:tcPr>
            <w:tcW w:type="dxa" w:w="3678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Официальный сайт</w:t>
            </w:r>
          </w:p>
        </w:tc>
        <w:tc>
          <w:tcPr>
            <w:tcW w:type="dxa" w:w="235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043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635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/>
        <w:tc>
          <w:tcPr>
            <w:tcW w:type="dxa" w:w="3678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Каналы продаж</w:t>
            </w:r>
          </w:p>
        </w:tc>
        <w:tc>
          <w:tcPr>
            <w:tcW w:type="dxa" w:w="235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043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635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/>
        <w:tc>
          <w:tcPr>
            <w:tcW w:type="dxa" w:w="3678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Подтверждение брони</w:t>
            </w:r>
          </w:p>
        </w:tc>
        <w:tc>
          <w:tcPr>
            <w:tcW w:type="dxa" w:w="235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043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635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/>
        <w:tc>
          <w:tcPr>
            <w:tcW w:type="dxa" w:w="3678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Стойка / номер</w:t>
            </w:r>
          </w:p>
        </w:tc>
        <w:tc>
          <w:tcPr>
            <w:tcW w:type="dxa" w:w="235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043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635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  <w:tr>
        <w:trPr/>
        <w:tc>
          <w:tcPr>
            <w:tcW w:type="dxa" w:w="3678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Памятка смены</w:t>
            </w:r>
          </w:p>
        </w:tc>
        <w:tc>
          <w:tcPr>
            <w:tcW w:type="dxa" w:w="235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2043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  <w:tc>
          <w:tcPr>
            <w:tcW w:type="dxa" w:w="1635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]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Kicker"/>
      </w:pPr>
      <w:r>
        <w:t>ЧАСТЬ 2  ·  ПРИЁМКА</w:t>
      </w:r>
    </w:p>
    <w:p>
      <w:pPr>
        <w:pStyle w:val="Heading1"/>
        <w:keepNext/>
      </w:pPr>
      <w:r>
        <w:t>Чек-лист перед публикацией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747"/>
        <w:gridCol w:w="6400"/>
        <w:gridCol w:w="2559"/>
      </w:tblGrid>
      <w:tr>
        <w:trPr>
          <w:tblHeader w:val="true"/>
        </w:trPr>
        <w:tc>
          <w:tcPr>
            <w:tcW w:type="dxa" w:w="747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6400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2559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Владелец / дата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Все поля в квадратных скобках заполнены или удалены после решения.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Ссылки на нормативные акты и реестровые сведения актуальны.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Нет ссылок на утратившие силу постановления и чужих реквизитов.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Условия брони, отмены и незаезда прошли юридическую проверку.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Перечень документов и исключений проверен по действующим нормам.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Бесплатные и платные услуги совпадают с фактом и прайсом.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Правила тишины, курения, посетителей, животных и безопасности совпадают с планировкой и оснащением.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Процедура ущерба не заменена автоматическим штрафом.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Правила не подменяют политику обработки персональных данных и согласия.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Текст совпадает на сайте, в каналах, письмах, на стойке и в памятке смены.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Все пометки «ПРОВЕРИТЬ ЮРИСТОМ» закрыты ответственным специалистом.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  <w:tr>
        <w:trPr/>
        <w:tc>
          <w:tcPr>
            <w:tcW w:type="dxa" w:w="747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☐</w:t>
            </w:r>
          </w:p>
        </w:tc>
        <w:tc>
          <w:tcPr>
            <w:tcW w:type="dxa" w:w="6400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Пройдены тестовая бронь, отмена, заселение и передача смены.</w:t>
            </w:r>
          </w:p>
        </w:tc>
        <w:tc>
          <w:tcPr>
            <w:tcW w:type="dxa" w:w="255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                         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Карта одного контрольного сценария</w:t>
      </w:r>
    </w:p>
    <w:tbl>
      <w:tblPr>
        <w:tblW w:type="dxa" w:w="9706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82"/>
        <w:gridCol w:w="5562"/>
        <w:gridCol w:w="3162"/>
      </w:tblGrid>
      <w:tr>
        <w:trPr>
          <w:tblHeader w:val="true"/>
        </w:trPr>
        <w:tc>
          <w:tcPr>
            <w:tcW w:type="dxa" w:w="982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Шаг</w:t>
            </w:r>
          </w:p>
        </w:tc>
        <w:tc>
          <w:tcPr>
            <w:tcW w:type="dxa" w:w="5562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Контрольный вопрос</w:t>
            </w:r>
          </w:p>
        </w:tc>
        <w:tc>
          <w:tcPr>
            <w:tcW w:type="dxa" w:w="3162"/>
            <w:shd w:fill="087849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Результат</w:t>
            </w:r>
          </w:p>
        </w:tc>
      </w:tr>
      <w:tr>
        <w:trPr/>
        <w:tc>
          <w:tcPr>
            <w:tcW w:type="dxa" w:w="98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1</w:t>
            </w:r>
          </w:p>
        </w:tc>
        <w:tc>
          <w:tcPr>
            <w:tcW w:type="dxa" w:w="55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Какое условие видит гость до брони?</w:t>
            </w:r>
          </w:p>
        </w:tc>
        <w:tc>
          <w:tcPr>
            <w:tcW w:type="dxa" w:w="31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[ссылка / скриншот]</w:t>
            </w:r>
          </w:p>
        </w:tc>
      </w:tr>
      <w:tr>
        <w:trPr/>
        <w:tc>
          <w:tcPr>
            <w:tcW w:type="dxa" w:w="98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2</w:t>
            </w:r>
          </w:p>
        </w:tc>
        <w:tc>
          <w:tcPr>
            <w:tcW w:type="dxa" w:w="55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Что приходит в подтверждении?</w:t>
            </w:r>
          </w:p>
        </w:tc>
        <w:tc>
          <w:tcPr>
            <w:tcW w:type="dxa" w:w="31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[письмо / сообщение]</w:t>
            </w:r>
          </w:p>
        </w:tc>
      </w:tr>
      <w:tr>
        <w:trPr/>
        <w:tc>
          <w:tcPr>
            <w:tcW w:type="dxa" w:w="98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3</w:t>
            </w:r>
          </w:p>
        </w:tc>
        <w:tc>
          <w:tcPr>
            <w:tcW w:type="dxa" w:w="55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Что видит и говорит сотрудник?</w:t>
            </w:r>
          </w:p>
        </w:tc>
        <w:tc>
          <w:tcPr>
            <w:tcW w:type="dxa" w:w="31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[памятка / экран]</w:t>
            </w:r>
          </w:p>
        </w:tc>
      </w:tr>
      <w:tr>
        <w:trPr/>
        <w:tc>
          <w:tcPr>
            <w:tcW w:type="dxa" w:w="98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4</w:t>
            </w:r>
          </w:p>
        </w:tc>
        <w:tc>
          <w:tcPr>
            <w:tcW w:type="dxa" w:w="55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Кто принимает решение по исключению?</w:t>
            </w:r>
          </w:p>
        </w:tc>
        <w:tc>
          <w:tcPr>
            <w:tcW w:type="dxa" w:w="31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[роль / срок]</w:t>
            </w:r>
          </w:p>
        </w:tc>
      </w:tr>
      <w:tr>
        <w:trPr/>
        <w:tc>
          <w:tcPr>
            <w:tcW w:type="dxa" w:w="98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/>
                <w:color w:val="202226"/>
                <w:sz w:val="17"/>
              </w:rPr>
              <w:t>5</w:t>
            </w:r>
          </w:p>
        </w:tc>
        <w:tc>
          <w:tcPr>
            <w:tcW w:type="dxa" w:w="55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Где остаётся подтверждённое решение?</w:t>
            </w:r>
          </w:p>
        </w:tc>
        <w:tc>
          <w:tcPr>
            <w:tcW w:type="dxa" w:w="3162"/>
            <w:vAlign w:val="center"/>
            <w:tcBorders>
              <w:top w:val="single" w:sz="6" w:color="D8E2DD"/>
              <w:left w:val="single" w:sz="6" w:color="D8E2DD"/>
              <w:bottom w:val="single" w:sz="6" w:color="D8E2DD"/>
              <w:right w:val="single" w:sz="6" w:color="D8E2DD"/>
              <w:insideH w:val="single" w:sz="6" w:color="D8E2DD"/>
              <w:insideV w:val="single" w:sz="6" w:color="D8E2DD"/>
            </w:tcBorders>
            <w:shd w:fill="F3F7F5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 w:line="269" w:lineRule="auto"/>
            </w:pPr>
            <w:r/>
            <w:r>
              <w:rPr>
                <w:rFonts w:ascii="Calibri" w:hAnsi="Calibri"/>
                <w:b w:val="0"/>
                <w:color w:val="202226"/>
                <w:sz w:val="17"/>
              </w:rPr>
              <w:t>[бронь / диалог / задача]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Источники и границы</w:t>
      </w:r>
    </w:p>
    <w:p>
      <w:pPr>
        <w:pStyle w:val="ListBullet"/>
        <w:spacing w:after="60" w:line="278" w:lineRule="auto"/>
      </w:pPr>
      <w:r>
        <w:t>Постановление Правительства РФ от 27.11.2025 № 1912: https://publication.pravo.gov.ru/document/0001202511300001</w:t>
      </w:r>
    </w:p>
    <w:p>
      <w:pPr>
        <w:pStyle w:val="ListBullet"/>
        <w:spacing w:after="60" w:line="278" w:lineRule="auto"/>
      </w:pPr>
      <w:r>
        <w:t>Роспотребнадзор, разъяснение от 25.02.2026: https://04.rospotrebnadzor.ru/index.php/information-for-businesses/helpful-information/20525-25022026.pdf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67" w:bottom="1037" w:left="1267" w:header="461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640" w:val="left"/>
      </w:tabs>
      <w:spacing w:after="0"/>
      <w:jc w:val="right"/>
    </w:pPr>
    <w:r>
      <w:rPr>
        <w:rFonts w:ascii="Calibri" w:hAnsi="Calibri"/>
        <w:color w:val="66706B"/>
        <w:sz w:val="16"/>
      </w:rPr>
      <w:t>o-pushka.ru  ·  версия 2026-08-26</w:t>
    </w:r>
    <w:r>
      <w:tab/>
    </w:r>
    <w:r>
      <w:rPr>
        <w:rFonts w:ascii="Calibri" w:hAnsi="Calibri"/>
        <w:color w:val="66706B"/>
        <w:sz w:val="16"/>
      </w:rPr>
      <w:t xml:space="preserve">Страница </w:t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color w:val="087849"/>
        <w:sz w:val="16"/>
      </w:rPr>
      <w:t>ОПУШКА  ·  РАБОЧИЙ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Rule="auto" w:line="278"/>
    </w:pPr>
    <w:rPr>
      <w:rFonts w:ascii="Calibri" w:hAnsi="Calibri"/>
      <w:color w:val="2022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20222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8784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20222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2022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80"/>
    </w:pPr>
    <w:rPr>
      <w:rFonts w:asciiTheme="majorHAnsi" w:eastAsiaTheme="majorEastAsia" w:hAnsiTheme="majorHAnsi" w:cstheme="majorBidi" w:ascii="Calibri" w:hAnsi="Calibri"/>
      <w:b w:val="0"/>
      <w:i/>
      <w:iCs/>
      <w:color w:val="66706B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2022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Calibri" w:hAnsi="Calibri"/>
      <w:color w:val="202226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spacing w:before="0" w:after="160"/>
    </w:pPr>
    <w:rPr>
      <w:rFonts w:ascii="Calibri" w:hAnsi="Calibri"/>
      <w:b/>
      <w:color w:val="087849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